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6EFC0A0E" w14:textId="77777777" w:rsidTr="004B2932">
        <w:tc>
          <w:tcPr>
            <w:tcW w:w="421" w:type="dxa"/>
            <w:shd w:val="pct10" w:color="auto" w:fill="auto"/>
          </w:tcPr>
          <w:p w14:paraId="0C55D4F6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0F4541DA" w14:textId="09FD8702" w:rsidR="00380802" w:rsidRPr="007A2B4F" w:rsidRDefault="005916FD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F088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5C2D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1F088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des prestataires logistiques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380802" w:rsidRPr="007A2B4F" w14:paraId="6C18286F" w14:textId="77777777" w:rsidTr="004B2932">
        <w:tc>
          <w:tcPr>
            <w:tcW w:w="421" w:type="dxa"/>
          </w:tcPr>
          <w:p w14:paraId="561AAE5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589E8E1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5BD6CA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EFD54B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37A911A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14:paraId="6634D75F" w14:textId="77777777" w:rsidTr="004B2932">
        <w:tc>
          <w:tcPr>
            <w:tcW w:w="421" w:type="dxa"/>
          </w:tcPr>
          <w:p w14:paraId="75D41D9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657F053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14:paraId="54F8CC9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67CE08CF" w14:textId="6BCA78E1" w:rsidR="00380802" w:rsidRPr="00B4665E" w:rsidRDefault="00965AD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665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GEFCO</w:t>
            </w:r>
            <w:r w:rsidR="00E70625" w:rsidRPr="00B4665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SA</w:t>
            </w:r>
          </w:p>
        </w:tc>
      </w:tr>
      <w:tr w:rsidR="00380802" w:rsidRPr="007A2B4F" w14:paraId="48B73A4D" w14:textId="77777777" w:rsidTr="004B2932">
        <w:tc>
          <w:tcPr>
            <w:tcW w:w="421" w:type="dxa"/>
          </w:tcPr>
          <w:p w14:paraId="1437401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26A361E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64EF3AFF" w14:textId="77777777" w:rsidR="00380802" w:rsidRPr="00EE612C" w:rsidRDefault="00965A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1949</w:t>
            </w:r>
          </w:p>
        </w:tc>
      </w:tr>
      <w:tr w:rsidR="00380802" w:rsidRPr="0006010A" w14:paraId="042B9434" w14:textId="77777777" w:rsidTr="004B2932">
        <w:tc>
          <w:tcPr>
            <w:tcW w:w="421" w:type="dxa"/>
          </w:tcPr>
          <w:p w14:paraId="38448AD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389039E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1009D877" w14:textId="7CF6FE88" w:rsidR="00380802" w:rsidRDefault="00965A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RZD Russian Railways</w:t>
            </w:r>
            <w:r w:rsidR="00B4665E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 :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75</w:t>
            </w:r>
            <w:r w:rsidR="00B4665E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%</w:t>
            </w:r>
          </w:p>
          <w:p w14:paraId="64C211A3" w14:textId="0FC4A9F7" w:rsidR="00965ADB" w:rsidRPr="00EE612C" w:rsidRDefault="00965A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PSA Peugeot Citroën </w:t>
            </w:r>
            <w:r w:rsidR="00B4665E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25</w:t>
            </w:r>
            <w:r w:rsidR="00B4665E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%</w:t>
            </w:r>
          </w:p>
        </w:tc>
      </w:tr>
      <w:tr w:rsidR="00380802" w:rsidRPr="007A2B4F" w14:paraId="77C8996C" w14:textId="77777777" w:rsidTr="004B2932">
        <w:tc>
          <w:tcPr>
            <w:tcW w:w="421" w:type="dxa"/>
          </w:tcPr>
          <w:p w14:paraId="16E1374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591274F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341DD6DD" w14:textId="77777777" w:rsidR="00380802" w:rsidRPr="00EE612C" w:rsidRDefault="00965A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Puteaux</w:t>
            </w:r>
          </w:p>
        </w:tc>
      </w:tr>
      <w:tr w:rsidR="00380802" w:rsidRPr="007A2B4F" w14:paraId="041C1264" w14:textId="77777777" w:rsidTr="004B2932">
        <w:tc>
          <w:tcPr>
            <w:tcW w:w="421" w:type="dxa"/>
          </w:tcPr>
          <w:p w14:paraId="65B2CCD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1768BFF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2898AC70" w14:textId="07D1877C" w:rsidR="00380802" w:rsidRPr="00EE612C" w:rsidRDefault="00965A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Luc Nadal</w:t>
            </w:r>
            <w:r w:rsidR="00B4665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- p</w:t>
            </w:r>
            <w:r w:rsidR="0059578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résident du Directoire</w:t>
            </w:r>
          </w:p>
        </w:tc>
      </w:tr>
      <w:tr w:rsidR="00E64CAF" w:rsidRPr="007A2B4F" w14:paraId="56294249" w14:textId="77777777" w:rsidTr="004B2932">
        <w:tc>
          <w:tcPr>
            <w:tcW w:w="421" w:type="dxa"/>
          </w:tcPr>
          <w:p w14:paraId="43FA47AA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739C2D94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14:paraId="498D8B63" w14:textId="144D4EE6" w:rsidR="00E64CAF" w:rsidRPr="00EE612C" w:rsidRDefault="00B4665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Environ </w:t>
            </w:r>
            <w:r w:rsidR="00965A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  <w:r w:rsidR="0059578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965A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000</w:t>
            </w:r>
          </w:p>
        </w:tc>
      </w:tr>
      <w:tr w:rsidR="00380802" w:rsidRPr="007A2B4F" w14:paraId="2CA771E0" w14:textId="77777777" w:rsidTr="004B2932">
        <w:tc>
          <w:tcPr>
            <w:tcW w:w="421" w:type="dxa"/>
          </w:tcPr>
          <w:p w14:paraId="07E0C4E3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54EDEE3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46D78A58" w14:textId="77777777"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55E322D1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05BB8565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05F92287" w14:textId="77777777"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41AE3650" w14:textId="77777777"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14:paraId="5366676A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1A9A2ADF" w14:textId="77777777"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76B6CED" w14:textId="0684A48C" w:rsidR="00380802" w:rsidRPr="00B4665E" w:rsidRDefault="00B4665E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4665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Oui, prestataire logistique global </w:t>
            </w:r>
            <w:r w:rsidR="00965ADB" w:rsidRPr="00B4665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échelle mondiale</w:t>
            </w:r>
          </w:p>
          <w:p w14:paraId="5F3E979D" w14:textId="77777777"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F4B41DD" w14:textId="77777777" w:rsidR="00380802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52AC7B4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53C0727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AEB36EF" w14:textId="77777777" w:rsidR="00C63CA2" w:rsidRPr="00EE612C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6DA2433C" w14:textId="77777777" w:rsidTr="004B2932">
        <w:tc>
          <w:tcPr>
            <w:tcW w:w="421" w:type="dxa"/>
          </w:tcPr>
          <w:p w14:paraId="2EC86C60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59F27C16" w14:textId="77777777"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14:paraId="468F305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7E3E0CA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2D77A84D" w14:textId="77777777" w:rsidR="00965ADB" w:rsidRDefault="00965A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28058C7" w14:textId="77777777" w:rsidR="00965ADB" w:rsidRPr="00B4665E" w:rsidRDefault="00965A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4665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14:paraId="1294B2F6" w14:textId="1FEDB04E" w:rsidR="00C63CA2" w:rsidRPr="00B4665E" w:rsidRDefault="00B466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B4665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4,7 Md€ (+ 2 %)</w:t>
            </w:r>
          </w:p>
        </w:tc>
      </w:tr>
      <w:tr w:rsidR="00380802" w:rsidRPr="007A2B4F" w14:paraId="2175090E" w14:textId="77777777" w:rsidTr="00C63CA2">
        <w:trPr>
          <w:trHeight w:val="1427"/>
        </w:trPr>
        <w:tc>
          <w:tcPr>
            <w:tcW w:w="421" w:type="dxa"/>
          </w:tcPr>
          <w:p w14:paraId="04FA33A9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0D9C8C60" w14:textId="77777777"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14:paraId="49C1F845" w14:textId="77777777"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14:paraId="315E4E27" w14:textId="77777777"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09E8F4E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49080760" w14:textId="77777777" w:rsidR="00CA3429" w:rsidRDefault="00CA3429" w:rsidP="00CA342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14:paraId="540FD653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E9E0FEE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0D61F3D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17931B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14:paraId="403358E6" w14:textId="77777777" w:rsidTr="004B2932">
        <w:tc>
          <w:tcPr>
            <w:tcW w:w="421" w:type="dxa"/>
          </w:tcPr>
          <w:p w14:paraId="21E9342F" w14:textId="77777777"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0A83A2BE" w14:textId="77777777"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7706FC91" w14:textId="77777777"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765BAB09" w14:textId="631E03CD" w:rsidR="0053462C" w:rsidRPr="00B4665E" w:rsidRDefault="00B4665E" w:rsidP="00B4665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4665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23</w:t>
            </w:r>
          </w:p>
          <w:p w14:paraId="62144F4E" w14:textId="35BD63DE" w:rsidR="0053462C" w:rsidRPr="00EE612C" w:rsidRDefault="0053462C" w:rsidP="0053462C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4665E">
              <w:rPr>
                <w:color w:val="000000"/>
                <w:sz w:val="19"/>
                <w:szCs w:val="19"/>
              </w:rPr>
              <w:t>Italie, Pays-Bas, Espagne, Portugal, Royaume-Uni, Suisse, Autriche, République Tchèque, Slovaquie, Pologne, Roumanie, Bulgarie, Turquie, Emirats Arabes Unis, Russie, Ukraine, Brésil, Argentine, Chili, Mexique, Chine, Algérie, Afrique du Sud.</w:t>
            </w:r>
          </w:p>
        </w:tc>
      </w:tr>
      <w:tr w:rsidR="00380802" w:rsidRPr="001B407E" w14:paraId="72C25468" w14:textId="77777777" w:rsidTr="004B2932">
        <w:tc>
          <w:tcPr>
            <w:tcW w:w="421" w:type="dxa"/>
          </w:tcPr>
          <w:p w14:paraId="0CE6492C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7991D9BF" w14:textId="77777777"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14:paraId="6B5B8080" w14:textId="77777777" w:rsidR="00F50467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305DA21E" w14:textId="77777777" w:rsidR="00A25591" w:rsidRDefault="00A2559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776FE70" w14:textId="77777777" w:rsidR="00380802" w:rsidRPr="00165C38" w:rsidRDefault="00380802" w:rsidP="001B407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2B0C0CF1" w14:textId="77777777" w:rsidR="00CC3551" w:rsidRDefault="00965ADB" w:rsidP="00CC355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4665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Faits marquants 2019-2020</w:t>
            </w:r>
          </w:p>
          <w:p w14:paraId="4E8E8527" w14:textId="77777777" w:rsidR="00B4665E" w:rsidRPr="00B4665E" w:rsidRDefault="00B4665E" w:rsidP="00CC355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355C0D4" w14:textId="45FFE30C" w:rsidR="00B7034F" w:rsidRPr="00B4665E" w:rsidRDefault="00B7034F" w:rsidP="00B4665E">
            <w:pPr>
              <w:contextualSpacing/>
              <w:jc w:val="both"/>
              <w:rPr>
                <w:rFonts w:cstheme="minorHAnsi"/>
                <w:sz w:val="19"/>
                <w:szCs w:val="19"/>
              </w:rPr>
            </w:pPr>
            <w:r w:rsidRPr="00B4665E">
              <w:rPr>
                <w:rFonts w:cstheme="minorHAnsi"/>
                <w:sz w:val="19"/>
                <w:szCs w:val="19"/>
              </w:rPr>
              <w:t>Business</w:t>
            </w:r>
            <w:r w:rsidR="00B4665E" w:rsidRPr="00B4665E">
              <w:rPr>
                <w:rFonts w:cstheme="minorHAnsi"/>
                <w:sz w:val="19"/>
                <w:szCs w:val="19"/>
              </w:rPr>
              <w:t> :</w:t>
            </w:r>
          </w:p>
          <w:p w14:paraId="3C55144B" w14:textId="25123ECC" w:rsidR="001658BA" w:rsidRPr="00B4665E" w:rsidRDefault="00B4665E" w:rsidP="00B4665E">
            <w:pPr>
              <w:contextualSpacing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- </w:t>
            </w:r>
            <w:r w:rsidR="001658BA" w:rsidRPr="00B4665E">
              <w:rPr>
                <w:rFonts w:cstheme="minorHAnsi"/>
                <w:sz w:val="19"/>
                <w:szCs w:val="19"/>
              </w:rPr>
              <w:t xml:space="preserve">Une bonne performance </w:t>
            </w:r>
            <w:r w:rsidR="006D449D" w:rsidRPr="00B4665E">
              <w:rPr>
                <w:rFonts w:cstheme="minorHAnsi"/>
                <w:sz w:val="19"/>
                <w:szCs w:val="19"/>
              </w:rPr>
              <w:t xml:space="preserve">a été </w:t>
            </w:r>
            <w:r w:rsidR="001658BA" w:rsidRPr="00B4665E">
              <w:rPr>
                <w:rFonts w:cstheme="minorHAnsi"/>
                <w:sz w:val="19"/>
                <w:szCs w:val="19"/>
              </w:rPr>
              <w:t>enregistrée en 2019 dans la branche</w:t>
            </w:r>
            <w:r w:rsidR="001B407E" w:rsidRPr="00B4665E">
              <w:rPr>
                <w:rFonts w:cstheme="minorHAnsi"/>
                <w:sz w:val="19"/>
                <w:szCs w:val="19"/>
              </w:rPr>
              <w:t xml:space="preserve"> Finished Vehicle Logistics (FVL), </w:t>
            </w:r>
            <w:r w:rsidR="001658BA" w:rsidRPr="00B4665E">
              <w:rPr>
                <w:rFonts w:cstheme="minorHAnsi"/>
                <w:sz w:val="19"/>
                <w:szCs w:val="19"/>
              </w:rPr>
              <w:t>notamment grâce aux</w:t>
            </w:r>
            <w:r w:rsidR="001B407E" w:rsidRPr="00B4665E">
              <w:rPr>
                <w:rFonts w:cstheme="minorHAnsi"/>
                <w:sz w:val="19"/>
                <w:szCs w:val="19"/>
              </w:rPr>
              <w:t xml:space="preserve"> </w:t>
            </w:r>
            <w:r w:rsidR="00DF5A48" w:rsidRPr="00B4665E">
              <w:rPr>
                <w:rFonts w:cstheme="minorHAnsi"/>
                <w:sz w:val="19"/>
                <w:szCs w:val="19"/>
              </w:rPr>
              <w:t xml:space="preserve">démarrage des </w:t>
            </w:r>
            <w:r w:rsidR="001B407E" w:rsidRPr="00B4665E">
              <w:rPr>
                <w:rFonts w:cstheme="minorHAnsi"/>
                <w:sz w:val="19"/>
                <w:szCs w:val="19"/>
              </w:rPr>
              <w:t xml:space="preserve">opérations </w:t>
            </w:r>
            <w:r w:rsidR="001658BA" w:rsidRPr="00B4665E">
              <w:rPr>
                <w:rFonts w:cstheme="minorHAnsi"/>
                <w:sz w:val="19"/>
                <w:szCs w:val="19"/>
              </w:rPr>
              <w:t>de la joint-venture</w:t>
            </w:r>
            <w:r w:rsidRPr="00B4665E">
              <w:rPr>
                <w:rFonts w:cstheme="minorHAnsi"/>
                <w:sz w:val="19"/>
                <w:szCs w:val="19"/>
              </w:rPr>
              <w:t xml:space="preserve"> Bergé-Gefo</w:t>
            </w:r>
            <w:r w:rsidR="00087D67" w:rsidRPr="00B4665E">
              <w:rPr>
                <w:rFonts w:cstheme="minorHAnsi"/>
                <w:sz w:val="19"/>
                <w:szCs w:val="19"/>
              </w:rPr>
              <w:t xml:space="preserve"> en Espagne. </w:t>
            </w:r>
          </w:p>
          <w:p w14:paraId="720B8382" w14:textId="4299E5D0" w:rsidR="001B407E" w:rsidRPr="00B4665E" w:rsidRDefault="00B4665E" w:rsidP="00B4665E">
            <w:pPr>
              <w:contextualSpacing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- </w:t>
            </w:r>
            <w:r w:rsidRPr="00B4665E">
              <w:rPr>
                <w:rFonts w:cstheme="minorHAnsi"/>
                <w:sz w:val="19"/>
                <w:szCs w:val="19"/>
              </w:rPr>
              <w:t xml:space="preserve">Gefco </w:t>
            </w:r>
            <w:r w:rsidR="001B407E" w:rsidRPr="00B4665E">
              <w:rPr>
                <w:rFonts w:cstheme="minorHAnsi"/>
                <w:sz w:val="19"/>
                <w:szCs w:val="19"/>
              </w:rPr>
              <w:t>a également lancé offic</w:t>
            </w:r>
            <w:r w:rsidR="001658BA" w:rsidRPr="00B4665E">
              <w:rPr>
                <w:rFonts w:cstheme="minorHAnsi"/>
                <w:sz w:val="19"/>
                <w:szCs w:val="19"/>
              </w:rPr>
              <w:t>iellement les opérations de</w:t>
            </w:r>
            <w:r w:rsidR="001B407E" w:rsidRPr="00B4665E">
              <w:rPr>
                <w:rFonts w:cstheme="minorHAnsi"/>
                <w:sz w:val="19"/>
                <w:szCs w:val="19"/>
              </w:rPr>
              <w:t xml:space="preserve"> </w:t>
            </w:r>
            <w:r w:rsidR="001658BA" w:rsidRPr="00B4665E">
              <w:rPr>
                <w:rFonts w:cstheme="minorHAnsi"/>
                <w:sz w:val="19"/>
                <w:szCs w:val="19"/>
              </w:rPr>
              <w:t xml:space="preserve">la </w:t>
            </w:r>
            <w:r w:rsidR="001B407E" w:rsidRPr="00B4665E">
              <w:rPr>
                <w:rFonts w:cstheme="minorHAnsi"/>
                <w:sz w:val="19"/>
                <w:szCs w:val="19"/>
              </w:rPr>
              <w:t>joint-venture</w:t>
            </w:r>
            <w:r w:rsidR="001658BA" w:rsidRPr="00B4665E">
              <w:rPr>
                <w:rFonts w:cstheme="minorHAnsi"/>
                <w:sz w:val="19"/>
                <w:szCs w:val="19"/>
              </w:rPr>
              <w:t xml:space="preserve"> avec son </w:t>
            </w:r>
            <w:r w:rsidR="001B407E" w:rsidRPr="00B4665E">
              <w:rPr>
                <w:rFonts w:cstheme="minorHAnsi"/>
                <w:sz w:val="19"/>
                <w:szCs w:val="19"/>
              </w:rPr>
              <w:t xml:space="preserve">partenaire Almajdouie </w:t>
            </w:r>
            <w:r w:rsidR="001658BA" w:rsidRPr="00B4665E">
              <w:rPr>
                <w:rFonts w:cstheme="minorHAnsi"/>
                <w:sz w:val="19"/>
                <w:szCs w:val="19"/>
              </w:rPr>
              <w:t xml:space="preserve">Logistics, en créant la première société </w:t>
            </w:r>
            <w:r w:rsidR="001B407E" w:rsidRPr="00B4665E">
              <w:rPr>
                <w:rFonts w:cstheme="minorHAnsi"/>
                <w:sz w:val="19"/>
                <w:szCs w:val="19"/>
              </w:rPr>
              <w:t>de</w:t>
            </w:r>
            <w:r w:rsidR="001658BA" w:rsidRPr="00B4665E">
              <w:rPr>
                <w:rFonts w:cstheme="minorHAnsi"/>
                <w:sz w:val="19"/>
                <w:szCs w:val="19"/>
              </w:rPr>
              <w:t xml:space="preserve"> supply chain de</w:t>
            </w:r>
            <w:r w:rsidR="001B407E" w:rsidRPr="00B4665E">
              <w:rPr>
                <w:rFonts w:cstheme="minorHAnsi"/>
                <w:sz w:val="19"/>
                <w:szCs w:val="19"/>
              </w:rPr>
              <w:t xml:space="preserve"> véhicules finis en Arabie Saoudite.</w:t>
            </w:r>
          </w:p>
          <w:p w14:paraId="36039586" w14:textId="730C86BD" w:rsidR="001658BA" w:rsidRPr="00B4665E" w:rsidRDefault="00B4665E" w:rsidP="00B4665E">
            <w:pPr>
              <w:contextualSpacing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- </w:t>
            </w:r>
            <w:r w:rsidR="001658BA" w:rsidRPr="00B4665E">
              <w:rPr>
                <w:rFonts w:cstheme="minorHAnsi"/>
                <w:sz w:val="19"/>
                <w:szCs w:val="19"/>
              </w:rPr>
              <w:t>L’année 2019</w:t>
            </w:r>
            <w:r w:rsidR="0006010A" w:rsidRPr="00B4665E">
              <w:rPr>
                <w:rFonts w:cstheme="minorHAnsi"/>
                <w:sz w:val="19"/>
                <w:szCs w:val="19"/>
              </w:rPr>
              <w:t xml:space="preserve"> a</w:t>
            </w:r>
            <w:r w:rsidR="001658BA" w:rsidRPr="00B4665E">
              <w:rPr>
                <w:rFonts w:cstheme="minorHAnsi"/>
                <w:sz w:val="19"/>
                <w:szCs w:val="19"/>
              </w:rPr>
              <w:t xml:space="preserve"> été marquée par une hausse des</w:t>
            </w:r>
            <w:r w:rsidR="001B407E" w:rsidRPr="00B4665E">
              <w:rPr>
                <w:rFonts w:cstheme="minorHAnsi"/>
                <w:sz w:val="19"/>
                <w:szCs w:val="19"/>
              </w:rPr>
              <w:t xml:space="preserve"> opérations avec des clients existants </w:t>
            </w:r>
            <w:r w:rsidR="004606D7" w:rsidRPr="00B4665E">
              <w:rPr>
                <w:rFonts w:cstheme="minorHAnsi"/>
                <w:sz w:val="19"/>
                <w:szCs w:val="19"/>
              </w:rPr>
              <w:t xml:space="preserve">leaders </w:t>
            </w:r>
            <w:r w:rsidR="00D60C31" w:rsidRPr="00B4665E">
              <w:rPr>
                <w:rFonts w:cstheme="minorHAnsi"/>
                <w:sz w:val="19"/>
                <w:szCs w:val="19"/>
              </w:rPr>
              <w:t xml:space="preserve">dans le secteur automobile </w:t>
            </w:r>
            <w:r w:rsidR="001658BA" w:rsidRPr="00B4665E">
              <w:rPr>
                <w:rFonts w:cstheme="minorHAnsi"/>
                <w:sz w:val="19"/>
                <w:szCs w:val="19"/>
              </w:rPr>
              <w:t xml:space="preserve">ainsi que le gain de </w:t>
            </w:r>
            <w:r w:rsidR="001B407E" w:rsidRPr="00B4665E">
              <w:rPr>
                <w:rFonts w:cstheme="minorHAnsi"/>
                <w:sz w:val="19"/>
                <w:szCs w:val="19"/>
              </w:rPr>
              <w:t>nouveaux contrats importants</w:t>
            </w:r>
            <w:r w:rsidR="00D60C31" w:rsidRPr="00B4665E">
              <w:rPr>
                <w:rFonts w:cstheme="minorHAnsi"/>
                <w:sz w:val="19"/>
                <w:szCs w:val="19"/>
              </w:rPr>
              <w:t xml:space="preserve"> pour la gestion de flux internationaux</w:t>
            </w:r>
            <w:r w:rsidR="004606D7" w:rsidRPr="00B4665E">
              <w:rPr>
                <w:rFonts w:cstheme="minorHAnsi"/>
                <w:sz w:val="19"/>
                <w:szCs w:val="19"/>
              </w:rPr>
              <w:t xml:space="preserve"> de la Chine vers l’Europe ou la distribution en Suisse et aux Pays-bas</w:t>
            </w:r>
            <w:r w:rsidR="0006010A" w:rsidRPr="00B4665E">
              <w:rPr>
                <w:rFonts w:cstheme="minorHAnsi"/>
                <w:sz w:val="19"/>
                <w:szCs w:val="19"/>
              </w:rPr>
              <w:t>.</w:t>
            </w:r>
          </w:p>
          <w:p w14:paraId="11BD38D3" w14:textId="4765199A" w:rsidR="00B4665E" w:rsidRPr="00B4665E" w:rsidRDefault="00B4665E" w:rsidP="00B4665E">
            <w:pPr>
              <w:contextualSpacing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- </w:t>
            </w:r>
            <w:r w:rsidR="006D449D" w:rsidRPr="00B4665E">
              <w:rPr>
                <w:rFonts w:cstheme="minorHAnsi"/>
                <w:sz w:val="19"/>
                <w:szCs w:val="19"/>
              </w:rPr>
              <w:t>G</w:t>
            </w:r>
            <w:r w:rsidRPr="00B4665E">
              <w:rPr>
                <w:rFonts w:cstheme="minorHAnsi"/>
                <w:sz w:val="19"/>
                <w:szCs w:val="19"/>
              </w:rPr>
              <w:t>efco</w:t>
            </w:r>
            <w:r w:rsidR="006D449D" w:rsidRPr="00B4665E">
              <w:rPr>
                <w:rFonts w:cstheme="minorHAnsi"/>
                <w:sz w:val="19"/>
                <w:szCs w:val="19"/>
              </w:rPr>
              <w:t xml:space="preserve"> a</w:t>
            </w:r>
            <w:r w:rsidR="0053462C" w:rsidRPr="00B4665E">
              <w:rPr>
                <w:rFonts w:cstheme="minorHAnsi"/>
                <w:sz w:val="19"/>
                <w:szCs w:val="19"/>
              </w:rPr>
              <w:t xml:space="preserve"> également</w:t>
            </w:r>
            <w:r w:rsidR="006D449D" w:rsidRPr="00B4665E">
              <w:rPr>
                <w:rFonts w:cstheme="minorHAnsi"/>
                <w:sz w:val="19"/>
                <w:szCs w:val="19"/>
              </w:rPr>
              <w:t xml:space="preserve"> poursuivi</w:t>
            </w:r>
            <w:r w:rsidR="0053462C" w:rsidRPr="00B4665E">
              <w:rPr>
                <w:rFonts w:cstheme="minorHAnsi"/>
                <w:sz w:val="19"/>
                <w:szCs w:val="19"/>
              </w:rPr>
              <w:t xml:space="preserve"> </w:t>
            </w:r>
            <w:r w:rsidR="001658BA" w:rsidRPr="00B4665E">
              <w:rPr>
                <w:rFonts w:cstheme="minorHAnsi"/>
                <w:sz w:val="19"/>
                <w:szCs w:val="19"/>
              </w:rPr>
              <w:t>une forte activité 4PL</w:t>
            </w:r>
            <w:r w:rsidR="004606D7" w:rsidRPr="00B4665E">
              <w:rPr>
                <w:rFonts w:cstheme="minorHAnsi"/>
                <w:sz w:val="19"/>
                <w:szCs w:val="19"/>
              </w:rPr>
              <w:t>.</w:t>
            </w:r>
            <w:r w:rsidR="001658BA" w:rsidRPr="00B4665E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071F0A4B" w14:textId="77777777" w:rsidR="00B4665E" w:rsidRDefault="00B4665E" w:rsidP="00B4665E">
            <w:pPr>
              <w:contextualSpacing/>
              <w:jc w:val="both"/>
              <w:rPr>
                <w:rFonts w:cstheme="minorHAnsi"/>
                <w:b/>
                <w:sz w:val="19"/>
                <w:szCs w:val="19"/>
              </w:rPr>
            </w:pPr>
          </w:p>
          <w:p w14:paraId="08056869" w14:textId="34E843BB" w:rsidR="00B7034F" w:rsidRPr="00B4665E" w:rsidRDefault="00B7034F" w:rsidP="00B4665E">
            <w:pPr>
              <w:contextualSpacing/>
              <w:jc w:val="both"/>
              <w:rPr>
                <w:rFonts w:cstheme="minorHAnsi"/>
                <w:sz w:val="19"/>
                <w:szCs w:val="19"/>
              </w:rPr>
            </w:pPr>
            <w:r w:rsidRPr="00B4665E">
              <w:rPr>
                <w:rFonts w:cstheme="minorHAnsi"/>
                <w:sz w:val="19"/>
                <w:szCs w:val="19"/>
              </w:rPr>
              <w:t>Innovation</w:t>
            </w:r>
            <w:r w:rsidR="00B4665E" w:rsidRPr="00B4665E">
              <w:rPr>
                <w:rFonts w:cstheme="minorHAnsi"/>
                <w:sz w:val="19"/>
                <w:szCs w:val="19"/>
              </w:rPr>
              <w:t> :</w:t>
            </w:r>
          </w:p>
          <w:p w14:paraId="219F83DC" w14:textId="45A09CA3" w:rsidR="00B7034F" w:rsidRPr="00B4665E" w:rsidRDefault="00B4665E" w:rsidP="00B4665E">
            <w:pPr>
              <w:contextualSpacing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- Gefco</w:t>
            </w:r>
            <w:r w:rsidR="00B7034F" w:rsidRPr="00B4665E">
              <w:rPr>
                <w:rFonts w:cstheme="minorHAnsi"/>
                <w:sz w:val="19"/>
                <w:szCs w:val="19"/>
              </w:rPr>
              <w:t xml:space="preserve"> a enrichi en 2019 son offre de service en faisant l’acquisition de Chronotruck, une plateforme digitale spécialisée dans le fret routier et qui, grâce à des algorithmes performants, simplifie les livraisons pour les expéditeurs et les </w:t>
            </w:r>
            <w:r w:rsidR="00B7034F" w:rsidRPr="00B4665E">
              <w:rPr>
                <w:rFonts w:cstheme="minorHAnsi"/>
                <w:sz w:val="19"/>
                <w:szCs w:val="19"/>
              </w:rPr>
              <w:lastRenderedPageBreak/>
              <w:t>transporteurs en assurant la mise en relation entre demande et offre disponible.</w:t>
            </w:r>
          </w:p>
          <w:p w14:paraId="7F926277" w14:textId="2424DDD8" w:rsidR="00B7034F" w:rsidRPr="00B4665E" w:rsidRDefault="00B4665E" w:rsidP="00B4665E">
            <w:pPr>
              <w:contextualSpacing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- Gefco</w:t>
            </w:r>
            <w:r w:rsidR="00B7034F" w:rsidRPr="00B4665E">
              <w:rPr>
                <w:rFonts w:cstheme="minorHAnsi"/>
                <w:sz w:val="19"/>
                <w:szCs w:val="19"/>
              </w:rPr>
              <w:t xml:space="preserve"> a lancé Moveecar, une plateforme numérique qui permet aux acteurs du marché « car-as-service » (CaaS) tels que les constructeurs automobile, les concessionnaires, les gestionnaires de flotte, les sociétés de location et de leasing de disposer d’une gamme complète de services logistiques automobile à haute valeur ajoutée dédiée à l’accompagnement de véhicules tout au long de leur vie. </w:t>
            </w:r>
          </w:p>
          <w:p w14:paraId="3FA43359" w14:textId="28C02A1A" w:rsidR="00B7034F" w:rsidRPr="00B4665E" w:rsidRDefault="00B4665E" w:rsidP="00B4665E">
            <w:pPr>
              <w:contextualSpacing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- Lancement de la Gefco</w:t>
            </w:r>
            <w:r w:rsidR="00B7034F" w:rsidRPr="00B4665E">
              <w:rPr>
                <w:rFonts w:cstheme="minorHAnsi"/>
                <w:sz w:val="19"/>
                <w:szCs w:val="19"/>
              </w:rPr>
              <w:t xml:space="preserve"> Université, une plateforme digitale de développement des compétences et des carrières mise à disposition des collaborateurs de GEFCO dans le monde.</w:t>
            </w:r>
          </w:p>
          <w:p w14:paraId="62AF1B97" w14:textId="77777777" w:rsidR="00BD66CC" w:rsidRPr="00B4665E" w:rsidRDefault="00BD66CC" w:rsidP="00B4665E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4AE568F1" w14:textId="77777777" w:rsidTr="004B2932">
        <w:tc>
          <w:tcPr>
            <w:tcW w:w="421" w:type="dxa"/>
            <w:shd w:val="pct5" w:color="auto" w:fill="auto"/>
          </w:tcPr>
          <w:p w14:paraId="242D10D8" w14:textId="77777777" w:rsidR="00380802" w:rsidRPr="001B407E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6FEBFA12" w14:textId="77777777"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14:paraId="49C601EB" w14:textId="77777777" w:rsidTr="004B2932">
        <w:tc>
          <w:tcPr>
            <w:tcW w:w="421" w:type="dxa"/>
          </w:tcPr>
          <w:p w14:paraId="5DF7CEAC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06C0969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255F0816" w14:textId="6F1BEDF3" w:rsidR="00380802" w:rsidRPr="00EE612C" w:rsidRDefault="00F85315" w:rsidP="00B4665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5E6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172 000 m²</w:t>
            </w:r>
            <w:r w:rsidDel="00F8531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</w:tr>
      <w:tr w:rsidR="00380802" w:rsidRPr="007A2B4F" w14:paraId="7183F44E" w14:textId="77777777" w:rsidTr="004B2932">
        <w:tc>
          <w:tcPr>
            <w:tcW w:w="421" w:type="dxa"/>
          </w:tcPr>
          <w:p w14:paraId="4C446A9D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77BAE57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58031885" w14:textId="77777777"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09D08900" w14:textId="77777777" w:rsidR="00380802" w:rsidRDefault="00965A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  <w:p w14:paraId="202480F2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3738361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14:paraId="75603958" w14:textId="77777777" w:rsidTr="004B2932">
        <w:tc>
          <w:tcPr>
            <w:tcW w:w="421" w:type="dxa"/>
          </w:tcPr>
          <w:p w14:paraId="6E404CE5" w14:textId="77777777"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33D2D112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14:paraId="39AB7E53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031A0761" w14:textId="77777777"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14:paraId="1899C3D2" w14:textId="77777777" w:rsidR="00357C35" w:rsidRDefault="00965A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14:paraId="5DFA0FE1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D400B3F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CFC47ED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2A5AA690" w14:textId="77777777" w:rsidTr="004B2932">
        <w:tc>
          <w:tcPr>
            <w:tcW w:w="421" w:type="dxa"/>
          </w:tcPr>
          <w:p w14:paraId="0784D4B1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0DE03730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14:paraId="6DB1D858" w14:textId="77777777"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5AC592BE" w14:textId="77777777" w:rsidR="00380802" w:rsidRDefault="00965A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14:paraId="689B56B7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4F510EAB" w14:textId="77777777" w:rsidTr="004B2932">
        <w:tc>
          <w:tcPr>
            <w:tcW w:w="421" w:type="dxa"/>
          </w:tcPr>
          <w:p w14:paraId="72B4B45B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1978034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14:paraId="2C230E04" w14:textId="77777777" w:rsidR="00380802" w:rsidRPr="00703275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</w:pPr>
            <w:r w:rsidRPr="0070327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Agroa</w:t>
            </w:r>
            <w:r w:rsidR="00380802" w:rsidRPr="0070327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limentaire</w:t>
            </w:r>
          </w:p>
          <w:p w14:paraId="57DD8B04" w14:textId="77777777" w:rsidR="00064279" w:rsidRPr="00965ADB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</w:pP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Aéronautique</w:t>
            </w:r>
          </w:p>
          <w:p w14:paraId="692AF0F1" w14:textId="77777777" w:rsidR="00064279" w:rsidRPr="00965ADB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</w:pP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Automobile</w:t>
            </w:r>
          </w:p>
          <w:p w14:paraId="2F6A3B3F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196FB6BB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Chimie</w:t>
            </w:r>
            <w:r w:rsidR="000A101F"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14:paraId="6DC1EB6A" w14:textId="77777777"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43712649" w14:textId="77777777" w:rsidR="00380802" w:rsidRPr="00965ADB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</w:pP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Distribution spécialisée</w:t>
            </w:r>
          </w:p>
          <w:p w14:paraId="66D6A432" w14:textId="77777777" w:rsidR="00002DF1" w:rsidRPr="00965ADB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</w:pP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PGC</w:t>
            </w:r>
          </w:p>
          <w:p w14:paraId="5365FEA9" w14:textId="77777777"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0AE773D6" w14:textId="77777777" w:rsidR="00380802" w:rsidRPr="00965ADB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Grande distribution</w:t>
            </w:r>
          </w:p>
          <w:p w14:paraId="6C53956F" w14:textId="77777777" w:rsidR="00962411" w:rsidRPr="00965ADB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</w:pP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High-</w:t>
            </w:r>
            <w:r w:rsidR="00962411"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tech</w:t>
            </w:r>
          </w:p>
          <w:p w14:paraId="5D98A21B" w14:textId="77777777"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438FDD78" w14:textId="77777777" w:rsidR="00962411" w:rsidRPr="00965ADB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</w:pP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Logistique indu</w:t>
            </w:r>
            <w:r w:rsidR="004417EE"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strielle in situ</w:t>
            </w:r>
          </w:p>
          <w:p w14:paraId="01302182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2E8234B2" w14:textId="77777777" w:rsidR="00380802" w:rsidRPr="00965ADB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</w:pP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Parfums</w:t>
            </w:r>
            <w:r w:rsidR="000A101F"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 xml:space="preserve"> </w:t>
            </w: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/</w:t>
            </w:r>
            <w:r w:rsidR="000A101F"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 xml:space="preserve"> </w:t>
            </w: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cosmétique</w:t>
            </w:r>
          </w:p>
          <w:p w14:paraId="542C5A8B" w14:textId="77777777"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449A6F95" w14:textId="77777777" w:rsidR="00380802" w:rsidRPr="00965ADB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</w:pP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Textile</w:t>
            </w:r>
          </w:p>
          <w:p w14:paraId="73B78AA1" w14:textId="77777777" w:rsidR="00380802" w:rsidRPr="00965ADB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</w:pP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Vins et spiritueux</w:t>
            </w:r>
          </w:p>
          <w:p w14:paraId="634E4B15" w14:textId="77777777" w:rsidR="00A70D5E" w:rsidRPr="00965ADB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</w:pPr>
            <w:r w:rsidRPr="00965A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highlight w:val="yellow"/>
              </w:rPr>
              <w:t>Pièces détachées</w:t>
            </w:r>
          </w:p>
          <w:p w14:paraId="4DA34390" w14:textId="77777777"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14:paraId="0B63CA7A" w14:textId="77777777"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0E5B51A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05881B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E75CBC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816AFB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960AC7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CC5440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6CF582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B7565A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1CA565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A5F4628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41364CB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70E87C0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37ABFF2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7226FAC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F22DB45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742D257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98C1924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EAD4321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7F54D03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8984806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5100984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349BFD4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14:paraId="02E031C2" w14:textId="77777777" w:rsidTr="004B2932">
        <w:tc>
          <w:tcPr>
            <w:tcW w:w="421" w:type="dxa"/>
          </w:tcPr>
          <w:p w14:paraId="73AC8A1D" w14:textId="77777777"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662" w:type="dxa"/>
            <w:gridSpan w:val="2"/>
          </w:tcPr>
          <w:p w14:paraId="3D3B6C20" w14:textId="77777777"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2BAFEF8D" w14:textId="18C50886" w:rsidR="00475FB9" w:rsidRDefault="0059578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Automobiles</w:t>
            </w:r>
          </w:p>
          <w:p w14:paraId="59E4C6C8" w14:textId="7F596DF1" w:rsidR="001F36D4" w:rsidRDefault="001F36D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</w:t>
            </w:r>
          </w:p>
          <w:p w14:paraId="24DBB7A7" w14:textId="12C99BCE" w:rsidR="001F36D4" w:rsidRDefault="001F36D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1785CB98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60465265" w14:textId="77777777" w:rsidTr="004B2932">
        <w:tc>
          <w:tcPr>
            <w:tcW w:w="421" w:type="dxa"/>
          </w:tcPr>
          <w:p w14:paraId="6DE1810B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7F206B38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19BE4D97" w14:textId="77777777"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34B35247" w14:textId="5779E615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E683F04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518E5D8A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04D3D3A6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4D6B2A72" w14:textId="77777777"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14:paraId="2348388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5030D5E5" w14:textId="015A943D" w:rsidR="00DF5A48" w:rsidRPr="00B4665E" w:rsidRDefault="00B4665E" w:rsidP="00B4665E">
            <w:pPr>
              <w:contextualSpacing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- Gefco </w:t>
            </w:r>
            <w:r w:rsidR="00DF5A48" w:rsidRPr="00B4665E">
              <w:rPr>
                <w:rFonts w:cstheme="minorHAnsi"/>
                <w:sz w:val="19"/>
                <w:szCs w:val="19"/>
              </w:rPr>
              <w:t>a annoncé son partenariat avec Airbus, pour assurer la gestion de ses emballages réutilisables pour une supply chain durable.</w:t>
            </w:r>
          </w:p>
          <w:p w14:paraId="24AD2FBE" w14:textId="7259FD62" w:rsidR="00380802" w:rsidRPr="00B4665E" w:rsidRDefault="00B4665E" w:rsidP="00B4665E">
            <w:pPr>
              <w:contextualSpacing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lastRenderedPageBreak/>
              <w:t>- Gefco</w:t>
            </w:r>
            <w:r w:rsidR="00CC3551" w:rsidRPr="00B4665E">
              <w:rPr>
                <w:rFonts w:cstheme="minorHAnsi"/>
                <w:sz w:val="19"/>
                <w:szCs w:val="19"/>
              </w:rPr>
              <w:t xml:space="preserve"> France accompagne Eni France pour ses besoins de gestion de sa supply chain</w:t>
            </w:r>
            <w:r w:rsidR="00ED73E8" w:rsidRPr="00B4665E">
              <w:rPr>
                <w:rFonts w:cstheme="minorHAnsi"/>
                <w:sz w:val="19"/>
                <w:szCs w:val="19"/>
              </w:rPr>
              <w:t xml:space="preserve"> et assure depuis sa plateforme de Satolas-et-Bonce (69) l’entreposage, la préparation de commande et la livraison vers ses clients sur l’ensemble du territoire.</w:t>
            </w:r>
          </w:p>
          <w:p w14:paraId="230D554E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4B867693" w14:textId="77777777" w:rsidTr="004B2932">
        <w:tc>
          <w:tcPr>
            <w:tcW w:w="421" w:type="dxa"/>
            <w:shd w:val="pct5" w:color="auto" w:fill="auto"/>
          </w:tcPr>
          <w:p w14:paraId="5DA7468E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754AA41A" w14:textId="77777777"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14:paraId="0C98D236" w14:textId="77777777" w:rsidTr="004B2932">
        <w:tc>
          <w:tcPr>
            <w:tcW w:w="421" w:type="dxa"/>
          </w:tcPr>
          <w:p w14:paraId="007FCC6F" w14:textId="77777777"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41D2686F" w14:textId="77777777"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3FFD4750" w14:textId="77777777"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72A596F6" w14:textId="7A7C9B40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59D3F78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5EF7ACCD" w14:textId="77777777" w:rsidTr="004B2932">
        <w:tc>
          <w:tcPr>
            <w:tcW w:w="421" w:type="dxa"/>
          </w:tcPr>
          <w:p w14:paraId="5DC51F82" w14:textId="77777777"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6E569969" w14:textId="77777777"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0B485386" w14:textId="77777777"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70B8F140" w14:textId="77777777"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020C1F96" w14:textId="6BF4B7F1" w:rsidR="00380802" w:rsidRDefault="007A738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2624705F" w14:textId="3A383C58" w:rsidR="009D162B" w:rsidRPr="00EE612C" w:rsidRDefault="007A738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</w:tc>
      </w:tr>
      <w:tr w:rsidR="008A6A17" w:rsidRPr="007A2B4F" w14:paraId="67EECEA4" w14:textId="77777777" w:rsidTr="004B2932">
        <w:tc>
          <w:tcPr>
            <w:tcW w:w="421" w:type="dxa"/>
          </w:tcPr>
          <w:p w14:paraId="5EAD1F78" w14:textId="77777777"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14:paraId="329D271F" w14:textId="77777777"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51F292A6" w14:textId="77777777"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61F0C198" w14:textId="50E2C6EE" w:rsidR="008A6A17" w:rsidRDefault="007A738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6C3FD582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14:paraId="63E21579" w14:textId="77777777" w:rsidTr="004B2932">
        <w:tc>
          <w:tcPr>
            <w:tcW w:w="421" w:type="dxa"/>
          </w:tcPr>
          <w:p w14:paraId="4F7A5181" w14:textId="77777777"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2295993B" w14:textId="77777777"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14:paraId="60243E54" w14:textId="77777777"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69780ACF" w14:textId="77777777"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D438F6D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200D8A77" w14:textId="77777777" w:rsidTr="004B2932">
        <w:tc>
          <w:tcPr>
            <w:tcW w:w="421" w:type="dxa"/>
          </w:tcPr>
          <w:p w14:paraId="735EAABB" w14:textId="77777777"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14:paraId="11C8B7B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5C3D34B5" w14:textId="77777777"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331BF14D" w14:textId="195CEE79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204DFE1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14:paraId="65B5E9A6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4285B4E6" w14:textId="77777777"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1E79A1D7" w14:textId="77777777"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B42771E" w14:textId="57102B34" w:rsidR="00002DF1" w:rsidRDefault="007A738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7FE094B5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14:paraId="4F96BF10" w14:textId="77777777" w:rsidTr="004B2932">
        <w:tc>
          <w:tcPr>
            <w:tcW w:w="421" w:type="dxa"/>
          </w:tcPr>
          <w:p w14:paraId="0ED175ED" w14:textId="77777777"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14:paraId="14A5B8CD" w14:textId="77777777"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34AF50B0" w14:textId="77777777"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44B73CF7" w14:textId="77777777"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14:paraId="44AA9F14" w14:textId="1D355420" w:rsidR="000B5FAA" w:rsidRDefault="000B5FA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60A5A9D1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4E7091D0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80802" w:rsidRPr="007A2B4F" w14:paraId="7A390E79" w14:textId="77777777" w:rsidTr="008566D3">
        <w:trPr>
          <w:trHeight w:val="1656"/>
        </w:trPr>
        <w:tc>
          <w:tcPr>
            <w:tcW w:w="421" w:type="dxa"/>
          </w:tcPr>
          <w:p w14:paraId="652CB53B" w14:textId="77777777"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7F319243" w14:textId="77777777"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14:paraId="2BC521E2" w14:textId="77777777"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44B19339" w14:textId="21E923FF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6B69CD6B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54FA684C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5801124" w14:textId="77777777"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3D1E4A46" w14:textId="77777777"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4E14421C" w14:textId="77777777"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14:paraId="3F75C69B" w14:textId="77777777" w:rsidTr="008566D3">
        <w:trPr>
          <w:trHeight w:val="1539"/>
        </w:trPr>
        <w:tc>
          <w:tcPr>
            <w:tcW w:w="421" w:type="dxa"/>
          </w:tcPr>
          <w:p w14:paraId="79ED4425" w14:textId="77777777"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1E5C39F4" w14:textId="77777777"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14:paraId="5327F884" w14:textId="794B452D" w:rsidR="008566D3" w:rsidRPr="00965C2C" w:rsidRDefault="009D5F4F" w:rsidP="00965C2C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9D5F4F">
              <w:rPr>
                <w:rFonts w:asciiTheme="minorHAnsi" w:hAnsiTheme="minorHAnsi" w:cstheme="minorHAnsi"/>
                <w:sz w:val="19"/>
                <w:szCs w:val="19"/>
              </w:rPr>
              <w:t>En tant qu’acteur global d</w:t>
            </w:r>
            <w:r w:rsidR="007A7383">
              <w:rPr>
                <w:rFonts w:asciiTheme="minorHAnsi" w:hAnsiTheme="minorHAnsi" w:cstheme="minorHAnsi"/>
                <w:sz w:val="19"/>
                <w:szCs w:val="19"/>
              </w:rPr>
              <w:t>e la logistique, le groupe Gefco</w:t>
            </w:r>
            <w:r w:rsidRPr="009D5F4F">
              <w:rPr>
                <w:rFonts w:asciiTheme="minorHAnsi" w:hAnsiTheme="minorHAnsi" w:cstheme="minorHAnsi"/>
                <w:sz w:val="19"/>
                <w:szCs w:val="19"/>
              </w:rPr>
              <w:t xml:space="preserve"> s’est mobilisé depuis le démarrage de la crise en Chine. L’organisation a été adaptée pour répondre à deux enjeux majeurs : protéger la santé des collaborateurs du groupe et de ses clients et garantir un maximum de flexibilité pour répondre à leurs nouveaux besoins. Les éq</w:t>
            </w:r>
            <w:r w:rsidR="007A7383">
              <w:rPr>
                <w:rFonts w:asciiTheme="minorHAnsi" w:hAnsiTheme="minorHAnsi" w:cstheme="minorHAnsi"/>
                <w:sz w:val="19"/>
                <w:szCs w:val="19"/>
              </w:rPr>
              <w:t>uipes du réseau mondial de Gefco</w:t>
            </w:r>
            <w:r w:rsidRPr="009D5F4F">
              <w:rPr>
                <w:rFonts w:asciiTheme="minorHAnsi" w:hAnsiTheme="minorHAnsi" w:cstheme="minorHAnsi"/>
                <w:sz w:val="19"/>
                <w:szCs w:val="19"/>
              </w:rPr>
              <w:t xml:space="preserve"> accompagnent depuis le début de cette crise nos clients en proposant des solutions alternatives multimodales pour répondre à leurs besoins et limiter d’éventuelles interruptions de la supply chain. Pour ce faire, nous nous appuyons notamment sur notre solution Time Critical et</w:t>
            </w:r>
            <w:r w:rsidR="007A7383">
              <w:rPr>
                <w:rFonts w:asciiTheme="minorHAnsi" w:hAnsiTheme="minorHAnsi" w:cstheme="minorHAnsi"/>
                <w:sz w:val="19"/>
                <w:szCs w:val="19"/>
              </w:rPr>
              <w:t xml:space="preserve"> mobilisons nos équipes de Gefco</w:t>
            </w:r>
            <w:r w:rsidRPr="009D5F4F">
              <w:rPr>
                <w:rFonts w:asciiTheme="minorHAnsi" w:hAnsiTheme="minorHAnsi" w:cstheme="minorHAnsi"/>
                <w:sz w:val="19"/>
                <w:szCs w:val="19"/>
              </w:rPr>
              <w:t xml:space="preserve"> Air &amp; Sea</w:t>
            </w:r>
            <w:r w:rsidRPr="009D5F4F">
              <w:rPr>
                <w:rFonts w:cstheme="minorHAnsi"/>
                <w:sz w:val="19"/>
                <w:szCs w:val="19"/>
              </w:rPr>
              <w:t xml:space="preserve">. Nous proposons </w:t>
            </w:r>
            <w:r w:rsidRPr="009D5F4F">
              <w:rPr>
                <w:rFonts w:asciiTheme="minorHAnsi" w:hAnsiTheme="minorHAnsi" w:cstheme="minorHAnsi"/>
                <w:sz w:val="19"/>
                <w:szCs w:val="19"/>
              </w:rPr>
              <w:t>de</w:t>
            </w:r>
            <w:r w:rsidRPr="009D5F4F">
              <w:rPr>
                <w:rFonts w:cstheme="minorHAnsi"/>
                <w:sz w:val="19"/>
                <w:szCs w:val="19"/>
              </w:rPr>
              <w:t>s</w:t>
            </w:r>
            <w:r>
              <w:rPr>
                <w:rFonts w:cstheme="minorHAnsi"/>
                <w:sz w:val="19"/>
                <w:szCs w:val="19"/>
              </w:rPr>
              <w:t xml:space="preserve"> prestations de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D5F4F">
              <w:rPr>
                <w:rFonts w:asciiTheme="minorHAnsi" w:hAnsiTheme="minorHAnsi" w:cstheme="minorHAnsi"/>
                <w:sz w:val="19"/>
                <w:szCs w:val="19"/>
              </w:rPr>
              <w:t>transports aérien</w:t>
            </w:r>
            <w:r w:rsidRPr="009D5F4F">
              <w:rPr>
                <w:rFonts w:cstheme="minorHAnsi"/>
                <w:sz w:val="19"/>
                <w:szCs w:val="19"/>
              </w:rPr>
              <w:t>s</w:t>
            </w:r>
            <w:r w:rsidRPr="009D5F4F">
              <w:rPr>
                <w:rFonts w:asciiTheme="minorHAnsi" w:hAnsiTheme="minorHAnsi" w:cstheme="minorHAnsi"/>
                <w:sz w:val="19"/>
                <w:szCs w:val="19"/>
              </w:rPr>
              <w:t>, routier</w:t>
            </w:r>
            <w:r w:rsidRPr="009D5F4F">
              <w:rPr>
                <w:rFonts w:cstheme="minorHAnsi"/>
                <w:sz w:val="19"/>
                <w:szCs w:val="19"/>
              </w:rPr>
              <w:t>s</w:t>
            </w:r>
            <w:r w:rsidRPr="009D5F4F">
              <w:rPr>
                <w:rFonts w:asciiTheme="minorHAnsi" w:hAnsiTheme="minorHAnsi" w:cstheme="minorHAnsi"/>
                <w:sz w:val="19"/>
                <w:szCs w:val="19"/>
              </w:rPr>
              <w:t xml:space="preserve"> ou ferroviaire</w:t>
            </w:r>
            <w:r w:rsidRPr="009D5F4F">
              <w:rPr>
                <w:rFonts w:cstheme="minorHAnsi"/>
                <w:sz w:val="19"/>
                <w:szCs w:val="19"/>
              </w:rPr>
              <w:t>s</w:t>
            </w:r>
            <w:r w:rsidRPr="009D5F4F">
              <w:rPr>
                <w:rFonts w:asciiTheme="minorHAnsi" w:hAnsiTheme="minorHAnsi" w:cstheme="minorHAnsi"/>
                <w:sz w:val="19"/>
                <w:szCs w:val="19"/>
              </w:rPr>
              <w:t xml:space="preserve"> urgents comme nous le faisons depuis plusieurs semaines depuis l’Asie vers la </w:t>
            </w:r>
            <w:r w:rsidRPr="009D5F4F">
              <w:rPr>
                <w:rFonts w:cstheme="minorHAnsi"/>
                <w:sz w:val="19"/>
                <w:szCs w:val="19"/>
              </w:rPr>
              <w:t>France pour certains de nos clients du secteur automobile ou de la santé.</w:t>
            </w:r>
          </w:p>
        </w:tc>
      </w:tr>
      <w:tr w:rsidR="00070B71" w:rsidRPr="007A2B4F" w14:paraId="66EB073C" w14:textId="77777777" w:rsidTr="004B2932">
        <w:tc>
          <w:tcPr>
            <w:tcW w:w="421" w:type="dxa"/>
            <w:shd w:val="pct5" w:color="auto" w:fill="auto"/>
          </w:tcPr>
          <w:p w14:paraId="2450FC4E" w14:textId="77777777"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51EC0790" w14:textId="270257C4"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1818686" w14:textId="57A9C549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00D4B7E"/>
    <w:multiLevelType w:val="hybridMultilevel"/>
    <w:tmpl w:val="EA44B462"/>
    <w:lvl w:ilvl="0" w:tplc="50A65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85754"/>
    <w:multiLevelType w:val="hybridMultilevel"/>
    <w:tmpl w:val="2A882DB8"/>
    <w:lvl w:ilvl="0" w:tplc="B05EA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1C513B5"/>
    <w:multiLevelType w:val="hybridMultilevel"/>
    <w:tmpl w:val="AD0AF6F8"/>
    <w:lvl w:ilvl="0" w:tplc="163E8A22">
      <w:start w:val="2019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C5BDB"/>
    <w:multiLevelType w:val="hybridMultilevel"/>
    <w:tmpl w:val="3EE8BCC8"/>
    <w:lvl w:ilvl="0" w:tplc="50A65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010A"/>
    <w:rsid w:val="00062F62"/>
    <w:rsid w:val="00064279"/>
    <w:rsid w:val="00070B71"/>
    <w:rsid w:val="00087D67"/>
    <w:rsid w:val="000945E2"/>
    <w:rsid w:val="000A101F"/>
    <w:rsid w:val="000B5FAA"/>
    <w:rsid w:val="000D4624"/>
    <w:rsid w:val="000F0DE3"/>
    <w:rsid w:val="00100B28"/>
    <w:rsid w:val="001658BA"/>
    <w:rsid w:val="00165C38"/>
    <w:rsid w:val="001A0F5D"/>
    <w:rsid w:val="001A2E9B"/>
    <w:rsid w:val="001A4C8A"/>
    <w:rsid w:val="001B407E"/>
    <w:rsid w:val="001C0D7B"/>
    <w:rsid w:val="001D5E61"/>
    <w:rsid w:val="001D72FD"/>
    <w:rsid w:val="001E542E"/>
    <w:rsid w:val="001F36D4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903AE"/>
    <w:rsid w:val="003C6ADD"/>
    <w:rsid w:val="00421F99"/>
    <w:rsid w:val="00430860"/>
    <w:rsid w:val="00432AF9"/>
    <w:rsid w:val="004417EE"/>
    <w:rsid w:val="004606D7"/>
    <w:rsid w:val="00475FB9"/>
    <w:rsid w:val="004A5D8B"/>
    <w:rsid w:val="004B2932"/>
    <w:rsid w:val="004F141B"/>
    <w:rsid w:val="004F1A04"/>
    <w:rsid w:val="00501B08"/>
    <w:rsid w:val="00512A34"/>
    <w:rsid w:val="00516421"/>
    <w:rsid w:val="0053462C"/>
    <w:rsid w:val="00562A95"/>
    <w:rsid w:val="005674E9"/>
    <w:rsid w:val="00580FD4"/>
    <w:rsid w:val="005916FD"/>
    <w:rsid w:val="0059578E"/>
    <w:rsid w:val="0059591C"/>
    <w:rsid w:val="005C2D2C"/>
    <w:rsid w:val="00607D47"/>
    <w:rsid w:val="00626D47"/>
    <w:rsid w:val="006314E3"/>
    <w:rsid w:val="0064464D"/>
    <w:rsid w:val="0067214D"/>
    <w:rsid w:val="006748D1"/>
    <w:rsid w:val="006C0D62"/>
    <w:rsid w:val="006D449D"/>
    <w:rsid w:val="006F0AE6"/>
    <w:rsid w:val="006F5011"/>
    <w:rsid w:val="00703275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A7383"/>
    <w:rsid w:val="007B7C57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95086C"/>
    <w:rsid w:val="00962411"/>
    <w:rsid w:val="00965ADB"/>
    <w:rsid w:val="00965C2C"/>
    <w:rsid w:val="009807DF"/>
    <w:rsid w:val="0099607A"/>
    <w:rsid w:val="009A25C4"/>
    <w:rsid w:val="009A3A26"/>
    <w:rsid w:val="009B3024"/>
    <w:rsid w:val="009D162B"/>
    <w:rsid w:val="009D5F4F"/>
    <w:rsid w:val="009F758B"/>
    <w:rsid w:val="00A25591"/>
    <w:rsid w:val="00A2763E"/>
    <w:rsid w:val="00A70D5E"/>
    <w:rsid w:val="00A726A9"/>
    <w:rsid w:val="00A82B4A"/>
    <w:rsid w:val="00A84A87"/>
    <w:rsid w:val="00A936FA"/>
    <w:rsid w:val="00AA71F9"/>
    <w:rsid w:val="00AB45C7"/>
    <w:rsid w:val="00AB4C9A"/>
    <w:rsid w:val="00B304D5"/>
    <w:rsid w:val="00B462A6"/>
    <w:rsid w:val="00B4665E"/>
    <w:rsid w:val="00B7034F"/>
    <w:rsid w:val="00B70403"/>
    <w:rsid w:val="00B7204F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3429"/>
    <w:rsid w:val="00CA6600"/>
    <w:rsid w:val="00CB075E"/>
    <w:rsid w:val="00CC3551"/>
    <w:rsid w:val="00CC7816"/>
    <w:rsid w:val="00D11390"/>
    <w:rsid w:val="00D35052"/>
    <w:rsid w:val="00D4046C"/>
    <w:rsid w:val="00D4158B"/>
    <w:rsid w:val="00D51EA1"/>
    <w:rsid w:val="00D60C31"/>
    <w:rsid w:val="00D82668"/>
    <w:rsid w:val="00D90104"/>
    <w:rsid w:val="00DA2A9E"/>
    <w:rsid w:val="00DF4426"/>
    <w:rsid w:val="00DF5A48"/>
    <w:rsid w:val="00E33A12"/>
    <w:rsid w:val="00E50ABA"/>
    <w:rsid w:val="00E560BA"/>
    <w:rsid w:val="00E5694F"/>
    <w:rsid w:val="00E64CAF"/>
    <w:rsid w:val="00E70625"/>
    <w:rsid w:val="00E80D35"/>
    <w:rsid w:val="00E87401"/>
    <w:rsid w:val="00EB2352"/>
    <w:rsid w:val="00EC34E3"/>
    <w:rsid w:val="00ED73E8"/>
    <w:rsid w:val="00EE3C6E"/>
    <w:rsid w:val="00EE612C"/>
    <w:rsid w:val="00F015B2"/>
    <w:rsid w:val="00F072BD"/>
    <w:rsid w:val="00F50467"/>
    <w:rsid w:val="00F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E0EBA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1173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7</cp:revision>
  <cp:lastPrinted>2020-05-15T07:46:00Z</cp:lastPrinted>
  <dcterms:created xsi:type="dcterms:W3CDTF">2020-05-15T15:25:00Z</dcterms:created>
  <dcterms:modified xsi:type="dcterms:W3CDTF">2020-05-22T11:47:00Z</dcterms:modified>
</cp:coreProperties>
</file>